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2E" w:rsidRDefault="0048322E"/>
    <w:p w:rsidR="00332F59" w:rsidRPr="00344E90" w:rsidRDefault="00FE0CA9" w:rsidP="00FE0CA9">
      <w:pPr>
        <w:jc w:val="center"/>
        <w:rPr>
          <w:b/>
          <w:sz w:val="28"/>
          <w:szCs w:val="28"/>
        </w:rPr>
      </w:pPr>
      <w:r w:rsidRPr="00344E90">
        <w:rPr>
          <w:b/>
          <w:sz w:val="28"/>
          <w:szCs w:val="28"/>
        </w:rPr>
        <w:t>REGLEMENT INTERNE DE LA COMMANDE PUBLIQUE</w:t>
      </w:r>
    </w:p>
    <w:p w:rsidR="00FE0CA9" w:rsidRDefault="00FE0CA9"/>
    <w:p w:rsidR="006C4EAE" w:rsidRDefault="00DA4B65" w:rsidP="006C4EAE">
      <w:pPr>
        <w:spacing w:after="0"/>
        <w:jc w:val="both"/>
      </w:pPr>
      <w:r>
        <w:t xml:space="preserve">Le pôle Rabat </w:t>
      </w:r>
      <w:proofErr w:type="spellStart"/>
      <w:r>
        <w:t>Kénitra</w:t>
      </w:r>
      <w:proofErr w:type="spellEnd"/>
      <w:r>
        <w:t xml:space="preserve"> constitue un service déconcentré de l’AEFE. Il est une composante de l’établissement public </w:t>
      </w:r>
      <w:r w:rsidR="00885C92">
        <w:t xml:space="preserve">français </w:t>
      </w:r>
      <w:r>
        <w:t xml:space="preserve">et son budget est agrégé chaque année à celui de l’AEFE. </w:t>
      </w:r>
      <w:r w:rsidR="00885C92">
        <w:t>Il est doté d’un ordonnateur secondaire, la cheffe de pôle,  et d’un agent comptable secondaire.</w:t>
      </w:r>
    </w:p>
    <w:p w:rsidR="00885C92" w:rsidRDefault="00885C92" w:rsidP="006C4EAE">
      <w:pPr>
        <w:spacing w:after="0"/>
        <w:jc w:val="both"/>
      </w:pPr>
      <w:r>
        <w:t>En qualité de service déconcentré de l’AEFE</w:t>
      </w:r>
      <w:r w:rsidR="005A19A8">
        <w:t xml:space="preserve"> implanté hors union européenne,</w:t>
      </w:r>
      <w:r>
        <w:t xml:space="preserve"> le pôle Rabat </w:t>
      </w:r>
      <w:proofErr w:type="spellStart"/>
      <w:r>
        <w:t>Kénitra</w:t>
      </w:r>
      <w:proofErr w:type="spellEnd"/>
      <w:r>
        <w:t xml:space="preserve"> </w:t>
      </w:r>
      <w:r w:rsidR="005A19A8">
        <w:t xml:space="preserve">n’est pas stricto sensu </w:t>
      </w:r>
      <w:r>
        <w:t>soumis aux dispositions du code de la commande publique entré en vigueur</w:t>
      </w:r>
      <w:r w:rsidR="005A19A8">
        <w:t xml:space="preserve"> en France </w:t>
      </w:r>
      <w:r>
        <w:t xml:space="preserve"> le 1</w:t>
      </w:r>
      <w:r w:rsidRPr="00885C92">
        <w:rPr>
          <w:vertAlign w:val="superscript"/>
        </w:rPr>
        <w:t>er</w:t>
      </w:r>
      <w:r>
        <w:t xml:space="preserve"> avril 2019.</w:t>
      </w:r>
      <w:r w:rsidR="005A19A8">
        <w:t xml:space="preserve"> Il s’engage néanmoins à s’inspirer des principes fondateurs et à privilégier une saine mise en concurrence des opérateurs économiques.</w:t>
      </w:r>
    </w:p>
    <w:p w:rsidR="006C4EAE" w:rsidRDefault="006C4EAE" w:rsidP="00885C92">
      <w:pPr>
        <w:spacing w:after="0"/>
        <w:jc w:val="both"/>
      </w:pPr>
    </w:p>
    <w:p w:rsidR="006C4EAE" w:rsidRDefault="006C4EAE" w:rsidP="006C4EAE">
      <w:pPr>
        <w:spacing w:after="0"/>
        <w:jc w:val="both"/>
      </w:pPr>
      <w:r>
        <w:t>Le présent règlement a un</w:t>
      </w:r>
      <w:r w:rsidR="005A19A8">
        <w:t xml:space="preserve"> triple objet</w:t>
      </w:r>
      <w:r>
        <w:t xml:space="preserve"> : </w:t>
      </w:r>
    </w:p>
    <w:p w:rsidR="006C4EAE" w:rsidRDefault="006C4EAE" w:rsidP="006C4EAE">
      <w:pPr>
        <w:pStyle w:val="Paragraphedeliste"/>
        <w:numPr>
          <w:ilvl w:val="0"/>
          <w:numId w:val="1"/>
        </w:numPr>
        <w:spacing w:after="0"/>
        <w:jc w:val="both"/>
      </w:pPr>
      <w:r>
        <w:t xml:space="preserve">Encadrer les procédures internes d’achat dans le respect des principes fondamentaux de la commande publique que sont : </w:t>
      </w:r>
    </w:p>
    <w:p w:rsidR="006C4EAE" w:rsidRDefault="006C4EAE" w:rsidP="006C4EAE">
      <w:pPr>
        <w:pStyle w:val="Paragraphedeliste"/>
        <w:numPr>
          <w:ilvl w:val="0"/>
          <w:numId w:val="2"/>
        </w:numPr>
        <w:spacing w:after="0"/>
        <w:jc w:val="both"/>
      </w:pPr>
      <w:r>
        <w:t>L’égalité de traitement des candidats</w:t>
      </w:r>
    </w:p>
    <w:p w:rsidR="006C4EAE" w:rsidRDefault="006C4EAE" w:rsidP="006C4EAE">
      <w:pPr>
        <w:pStyle w:val="Paragraphedeliste"/>
        <w:numPr>
          <w:ilvl w:val="0"/>
          <w:numId w:val="2"/>
        </w:numPr>
        <w:spacing w:after="0"/>
        <w:jc w:val="both"/>
      </w:pPr>
      <w:r>
        <w:t>La liberté d’accès à la commande publique</w:t>
      </w:r>
    </w:p>
    <w:p w:rsidR="006C4EAE" w:rsidRDefault="006C4EAE" w:rsidP="006C4EAE">
      <w:pPr>
        <w:pStyle w:val="Paragraphedeliste"/>
        <w:numPr>
          <w:ilvl w:val="0"/>
          <w:numId w:val="2"/>
        </w:numPr>
        <w:spacing w:after="0"/>
        <w:jc w:val="both"/>
      </w:pPr>
      <w:r>
        <w:t>La transparence des procédures</w:t>
      </w:r>
    </w:p>
    <w:p w:rsidR="006C4EAE" w:rsidRDefault="008D6CC2" w:rsidP="006C4EAE">
      <w:pPr>
        <w:pStyle w:val="Paragraphedeliste"/>
        <w:numPr>
          <w:ilvl w:val="0"/>
          <w:numId w:val="1"/>
        </w:numPr>
        <w:spacing w:after="0"/>
        <w:jc w:val="both"/>
      </w:pPr>
      <w:r>
        <w:t>La bonne utilisation des deniers publics</w:t>
      </w:r>
    </w:p>
    <w:p w:rsidR="005A19A8" w:rsidRDefault="005A19A8" w:rsidP="006C4EAE">
      <w:pPr>
        <w:pStyle w:val="Paragraphedeliste"/>
        <w:numPr>
          <w:ilvl w:val="0"/>
          <w:numId w:val="1"/>
        </w:numPr>
        <w:spacing w:after="0"/>
        <w:jc w:val="both"/>
      </w:pPr>
      <w:r>
        <w:t>Prendre en compte les exigences du développement durable et, en particulier, les exigences sociales et environnementales</w:t>
      </w:r>
    </w:p>
    <w:p w:rsidR="006C4EAE" w:rsidRDefault="006C4EAE" w:rsidP="00885C92">
      <w:pPr>
        <w:spacing w:after="0"/>
        <w:jc w:val="both"/>
      </w:pPr>
    </w:p>
    <w:p w:rsidR="006C4EAE" w:rsidRDefault="006C4EAE" w:rsidP="00885C92">
      <w:pPr>
        <w:spacing w:after="0"/>
        <w:jc w:val="both"/>
      </w:pPr>
      <w:r>
        <w:t xml:space="preserve">Le secrétariat général du pôle Rabat </w:t>
      </w:r>
      <w:proofErr w:type="spellStart"/>
      <w:r>
        <w:t>Kénitra</w:t>
      </w:r>
      <w:proofErr w:type="spellEnd"/>
      <w:r>
        <w:t xml:space="preserve"> est chargé sous l’autorité de l’ordonnateur secondaire de l’exécution du présent règlement. </w:t>
      </w:r>
    </w:p>
    <w:p w:rsidR="003D2193" w:rsidRDefault="003D2193" w:rsidP="00885C92">
      <w:pPr>
        <w:spacing w:after="0"/>
        <w:jc w:val="both"/>
      </w:pPr>
    </w:p>
    <w:p w:rsidR="003D2193" w:rsidRPr="009D0A7B" w:rsidRDefault="003D2193" w:rsidP="003D2193">
      <w:pPr>
        <w:pStyle w:val="Paragraphedeliste"/>
        <w:numPr>
          <w:ilvl w:val="0"/>
          <w:numId w:val="3"/>
        </w:numPr>
        <w:spacing w:after="0"/>
        <w:jc w:val="both"/>
        <w:rPr>
          <w:b/>
        </w:rPr>
      </w:pPr>
      <w:r w:rsidRPr="009D0A7B">
        <w:rPr>
          <w:b/>
        </w:rPr>
        <w:t>Seuils de publicité et de mise en concurrence</w:t>
      </w:r>
    </w:p>
    <w:p w:rsidR="003D2193" w:rsidRDefault="003D2193" w:rsidP="003D2193">
      <w:pPr>
        <w:spacing w:after="0"/>
        <w:jc w:val="both"/>
      </w:pPr>
    </w:p>
    <w:p w:rsidR="00695C1F" w:rsidRDefault="00817F5D" w:rsidP="003D2193">
      <w:pPr>
        <w:spacing w:after="0"/>
        <w:jc w:val="both"/>
      </w:pPr>
      <w:r>
        <w:t xml:space="preserve">Le choix de la procédure à mettre en œuvre est déterminé en fonction du montant et des caractéristiques des prestations à réaliser. </w:t>
      </w:r>
      <w:r w:rsidR="00695C1F">
        <w:t>Une</w:t>
      </w:r>
      <w:r>
        <w:t xml:space="preserve"> définition précise des besoins </w:t>
      </w:r>
      <w:r w:rsidR="00695C1F">
        <w:t xml:space="preserve">homogènes </w:t>
      </w:r>
      <w:r>
        <w:t xml:space="preserve">doit être effectuée annuellement </w:t>
      </w:r>
      <w:r w:rsidR="00695C1F">
        <w:t>et permettre la tenue d’un état prévisionnel des achats.</w:t>
      </w:r>
      <w:r w:rsidR="00087884">
        <w:t xml:space="preserve"> </w:t>
      </w:r>
      <w:r w:rsidR="0017221E">
        <w:t>Le secrétariat général veillera à ne pas diviser à l’excès l</w:t>
      </w:r>
      <w:r w:rsidR="00087884">
        <w:t xml:space="preserve">es catégories </w:t>
      </w:r>
      <w:r w:rsidR="0017221E">
        <w:t xml:space="preserve">pour en diminuer artificiellement le montant. </w:t>
      </w:r>
    </w:p>
    <w:p w:rsidR="0017221E" w:rsidRDefault="0017221E" w:rsidP="0017221E">
      <w:pPr>
        <w:spacing w:after="0"/>
        <w:jc w:val="both"/>
      </w:pPr>
    </w:p>
    <w:p w:rsidR="0017221E" w:rsidRDefault="0017221E" w:rsidP="0017221E">
      <w:pPr>
        <w:spacing w:after="0"/>
        <w:jc w:val="both"/>
      </w:pPr>
      <w:r>
        <w:t>Sous réserve de respecter les prescriptions ci-dessus, la mise en concurrence n’est obligatoire que pour tous les marchés dont le montant estimé est supérieur à  40 000 € hors taxe</w:t>
      </w:r>
      <w:r w:rsidR="009D0A7B">
        <w:t xml:space="preserve"> arrondi à 400 000</w:t>
      </w:r>
      <w:r>
        <w:t xml:space="preserve"> </w:t>
      </w:r>
      <w:proofErr w:type="spellStart"/>
      <w:r>
        <w:t>D</w:t>
      </w:r>
      <w:r w:rsidR="009D0A7B">
        <w:t>hs</w:t>
      </w:r>
      <w:proofErr w:type="spellEnd"/>
      <w:r w:rsidR="009D0A7B">
        <w:t xml:space="preserve"> HT.</w:t>
      </w:r>
    </w:p>
    <w:p w:rsidR="0017221E" w:rsidRPr="009D0A7B" w:rsidRDefault="0017221E" w:rsidP="003D2193">
      <w:pPr>
        <w:spacing w:after="0"/>
        <w:jc w:val="both"/>
        <w:rPr>
          <w:b/>
        </w:rPr>
      </w:pPr>
    </w:p>
    <w:p w:rsidR="0017221E" w:rsidRDefault="0017221E" w:rsidP="003D2193">
      <w:pPr>
        <w:spacing w:after="0"/>
        <w:jc w:val="both"/>
        <w:rPr>
          <w:b/>
        </w:rPr>
      </w:pPr>
    </w:p>
    <w:p w:rsidR="002B3310" w:rsidRDefault="002B3310" w:rsidP="003D2193">
      <w:pPr>
        <w:spacing w:after="0"/>
        <w:jc w:val="both"/>
        <w:rPr>
          <w:b/>
        </w:rPr>
      </w:pPr>
    </w:p>
    <w:p w:rsidR="00F84B56" w:rsidRDefault="00F84B56" w:rsidP="003D2193">
      <w:pPr>
        <w:spacing w:after="0"/>
        <w:jc w:val="both"/>
        <w:rPr>
          <w:b/>
        </w:rPr>
      </w:pPr>
    </w:p>
    <w:p w:rsidR="002B3310" w:rsidRDefault="002B3310" w:rsidP="003D2193">
      <w:pPr>
        <w:spacing w:after="0"/>
        <w:jc w:val="both"/>
        <w:rPr>
          <w:b/>
        </w:rPr>
      </w:pPr>
    </w:p>
    <w:p w:rsidR="002B3310" w:rsidRPr="009D0A7B" w:rsidRDefault="002B3310" w:rsidP="003D2193">
      <w:pPr>
        <w:spacing w:after="0"/>
        <w:jc w:val="both"/>
        <w:rPr>
          <w:b/>
        </w:rPr>
      </w:pPr>
    </w:p>
    <w:p w:rsidR="003D2193" w:rsidRPr="009D0A7B" w:rsidRDefault="003D2193" w:rsidP="003D2193">
      <w:pPr>
        <w:pStyle w:val="Paragraphedeliste"/>
        <w:numPr>
          <w:ilvl w:val="0"/>
          <w:numId w:val="4"/>
        </w:numPr>
        <w:spacing w:after="0"/>
        <w:jc w:val="both"/>
        <w:rPr>
          <w:b/>
        </w:rPr>
      </w:pPr>
      <w:r w:rsidRPr="009D0A7B">
        <w:rPr>
          <w:b/>
        </w:rPr>
        <w:lastRenderedPageBreak/>
        <w:t>Marchés d’un montant inférieur à 40 000 € HT (4</w:t>
      </w:r>
      <w:r w:rsidR="00F84B56">
        <w:rPr>
          <w:b/>
        </w:rPr>
        <w:t>0</w:t>
      </w:r>
      <w:r w:rsidR="009D0A7B" w:rsidRPr="009D0A7B">
        <w:rPr>
          <w:b/>
        </w:rPr>
        <w:t>0 000</w:t>
      </w:r>
      <w:r w:rsidRPr="009D0A7B">
        <w:rPr>
          <w:b/>
        </w:rPr>
        <w:t xml:space="preserve"> </w:t>
      </w:r>
      <w:proofErr w:type="spellStart"/>
      <w:r w:rsidRPr="009D0A7B">
        <w:rPr>
          <w:b/>
        </w:rPr>
        <w:t>Dhs</w:t>
      </w:r>
      <w:proofErr w:type="spellEnd"/>
      <w:r w:rsidRPr="009D0A7B">
        <w:rPr>
          <w:b/>
        </w:rPr>
        <w:t xml:space="preserve"> </w:t>
      </w:r>
      <w:proofErr w:type="spellStart"/>
      <w:r w:rsidRPr="009D0A7B">
        <w:rPr>
          <w:b/>
        </w:rPr>
        <w:t>Ht</w:t>
      </w:r>
      <w:proofErr w:type="spellEnd"/>
      <w:r w:rsidRPr="009D0A7B">
        <w:rPr>
          <w:b/>
        </w:rPr>
        <w:t xml:space="preserve">) : </w:t>
      </w:r>
    </w:p>
    <w:p w:rsidR="003D2193" w:rsidRDefault="003D2193" w:rsidP="003D2193">
      <w:pPr>
        <w:spacing w:after="0"/>
        <w:jc w:val="both"/>
      </w:pPr>
    </w:p>
    <w:p w:rsidR="003D2193" w:rsidRDefault="003D2193" w:rsidP="003D2193">
      <w:pPr>
        <w:spacing w:after="0"/>
        <w:jc w:val="both"/>
      </w:pPr>
      <w:r>
        <w:t xml:space="preserve">Les marchés de prestations homogènes de fournitures, services ou d’opérations de travaux dont le montant est </w:t>
      </w:r>
      <w:r w:rsidRPr="00D67521">
        <w:rPr>
          <w:b/>
          <w:u w:val="single"/>
        </w:rPr>
        <w:t xml:space="preserve">inférieur </w:t>
      </w:r>
      <w:r>
        <w:t>à 40 000 € HT (4</w:t>
      </w:r>
      <w:r w:rsidR="009D0A7B">
        <w:t>00 000</w:t>
      </w:r>
      <w:r>
        <w:t xml:space="preserve"> </w:t>
      </w:r>
      <w:proofErr w:type="spellStart"/>
      <w:r>
        <w:t>Dhs</w:t>
      </w:r>
      <w:proofErr w:type="spellEnd"/>
      <w:r>
        <w:t xml:space="preserve"> HT) peuvent être passés sans publicité ni mise en concurrence. </w:t>
      </w:r>
    </w:p>
    <w:p w:rsidR="003D2193" w:rsidRDefault="003D2193" w:rsidP="003D2193">
      <w:pPr>
        <w:spacing w:after="0"/>
        <w:jc w:val="both"/>
      </w:pPr>
      <w:r>
        <w:t xml:space="preserve">Les services du </w:t>
      </w:r>
      <w:r w:rsidR="00817F5D">
        <w:t>secrétariat</w:t>
      </w:r>
      <w:r>
        <w:t xml:space="preserve"> général veilleront toutefois</w:t>
      </w:r>
      <w:r w:rsidR="00817F5D">
        <w:t xml:space="preserve"> : </w:t>
      </w:r>
    </w:p>
    <w:p w:rsidR="00817F5D" w:rsidRDefault="00817F5D" w:rsidP="00817F5D">
      <w:pPr>
        <w:pStyle w:val="Paragraphedeliste"/>
        <w:numPr>
          <w:ilvl w:val="0"/>
          <w:numId w:val="2"/>
        </w:numPr>
        <w:spacing w:after="0"/>
        <w:jc w:val="both"/>
      </w:pPr>
      <w:r>
        <w:t xml:space="preserve">à faire établir trois devis ou à apporter la preuve de recherche de prix </w:t>
      </w:r>
    </w:p>
    <w:p w:rsidR="00817F5D" w:rsidRDefault="00817F5D" w:rsidP="00817F5D">
      <w:pPr>
        <w:pStyle w:val="Paragraphedeliste"/>
        <w:numPr>
          <w:ilvl w:val="0"/>
          <w:numId w:val="2"/>
        </w:numPr>
        <w:spacing w:after="0"/>
        <w:jc w:val="both"/>
      </w:pPr>
      <w:r>
        <w:t>à ne pas contracter systématiquement avec un même prestataire lorsqu’il existe une pluralité d’offres potentielles susceptibles de répondre au besoin.</w:t>
      </w:r>
    </w:p>
    <w:p w:rsidR="00D67521" w:rsidRDefault="00D67521" w:rsidP="00D67521">
      <w:pPr>
        <w:pStyle w:val="Paragraphedeliste"/>
        <w:spacing w:after="0"/>
        <w:ind w:left="1080"/>
        <w:jc w:val="both"/>
      </w:pPr>
    </w:p>
    <w:p w:rsidR="003D2193" w:rsidRDefault="00D67521" w:rsidP="003D2193">
      <w:pPr>
        <w:spacing w:after="0"/>
        <w:jc w:val="both"/>
      </w:pPr>
      <w:r>
        <w:t xml:space="preserve">La commande sera matérialisée dans l’outil financier et accompagnée au titre des pièces justificatives par une courte note faisant état du caractère économiquement et techniquement le plus avantageux pour le pôle Rabat </w:t>
      </w:r>
      <w:proofErr w:type="spellStart"/>
      <w:r>
        <w:t>Kénitra</w:t>
      </w:r>
      <w:proofErr w:type="spellEnd"/>
      <w:r>
        <w:t xml:space="preserve">. </w:t>
      </w:r>
    </w:p>
    <w:p w:rsidR="00D67521" w:rsidRDefault="00D67521" w:rsidP="003D2193">
      <w:pPr>
        <w:spacing w:after="0"/>
        <w:jc w:val="both"/>
      </w:pPr>
    </w:p>
    <w:p w:rsidR="00A027EA" w:rsidRPr="005A5594" w:rsidRDefault="00A027EA" w:rsidP="00A027EA">
      <w:pPr>
        <w:pStyle w:val="Paragraphedeliste"/>
        <w:numPr>
          <w:ilvl w:val="0"/>
          <w:numId w:val="4"/>
        </w:numPr>
        <w:spacing w:after="0"/>
        <w:jc w:val="both"/>
        <w:rPr>
          <w:b/>
        </w:rPr>
      </w:pPr>
      <w:r w:rsidRPr="005A5594">
        <w:rPr>
          <w:b/>
        </w:rPr>
        <w:t xml:space="preserve">Marchés d’un montant compris entre 40 000 € HT </w:t>
      </w:r>
      <w:r w:rsidR="009D0A7B" w:rsidRPr="005A5594">
        <w:rPr>
          <w:b/>
        </w:rPr>
        <w:t xml:space="preserve">(400 000 </w:t>
      </w:r>
      <w:proofErr w:type="spellStart"/>
      <w:r w:rsidRPr="005A5594">
        <w:rPr>
          <w:b/>
        </w:rPr>
        <w:t>Dhs</w:t>
      </w:r>
      <w:proofErr w:type="spellEnd"/>
      <w:r w:rsidRPr="005A5594">
        <w:rPr>
          <w:b/>
        </w:rPr>
        <w:t xml:space="preserve">) et </w:t>
      </w:r>
      <w:r w:rsidR="00C67FDD">
        <w:rPr>
          <w:b/>
        </w:rPr>
        <w:t>inférieur à 90 000</w:t>
      </w:r>
      <w:r w:rsidRPr="005A5594">
        <w:rPr>
          <w:b/>
        </w:rPr>
        <w:t xml:space="preserve"> € HT </w:t>
      </w:r>
      <w:r w:rsidR="009D0A7B" w:rsidRPr="005A5594">
        <w:rPr>
          <w:b/>
        </w:rPr>
        <w:t>(</w:t>
      </w:r>
      <w:r w:rsidR="00C67FDD">
        <w:rPr>
          <w:b/>
        </w:rPr>
        <w:t>900 000</w:t>
      </w:r>
      <w:r w:rsidR="009D0A7B" w:rsidRPr="005A5594">
        <w:rPr>
          <w:b/>
        </w:rPr>
        <w:t xml:space="preserve"> </w:t>
      </w:r>
      <w:proofErr w:type="spellStart"/>
      <w:r w:rsidR="009D0A7B" w:rsidRPr="005A5594">
        <w:rPr>
          <w:b/>
        </w:rPr>
        <w:t>Dhs</w:t>
      </w:r>
      <w:proofErr w:type="spellEnd"/>
      <w:r w:rsidR="009D0A7B" w:rsidRPr="005A5594">
        <w:rPr>
          <w:b/>
        </w:rPr>
        <w:t xml:space="preserve"> HT) </w:t>
      </w:r>
    </w:p>
    <w:p w:rsidR="00EA2E22" w:rsidRPr="005A5594" w:rsidRDefault="00EA2E22" w:rsidP="00885C92">
      <w:pPr>
        <w:spacing w:after="0"/>
        <w:jc w:val="both"/>
        <w:rPr>
          <w:b/>
        </w:rPr>
      </w:pPr>
    </w:p>
    <w:p w:rsidR="009D0A7B" w:rsidRDefault="009D0A7B" w:rsidP="00885C92">
      <w:pPr>
        <w:spacing w:after="0"/>
        <w:jc w:val="both"/>
      </w:pPr>
      <w:r>
        <w:t xml:space="preserve">Les marchés dont le montant est supérieur ou égal à 40 000 € HT (400 000 </w:t>
      </w:r>
      <w:proofErr w:type="spellStart"/>
      <w:r>
        <w:t>Dhs</w:t>
      </w:r>
      <w:proofErr w:type="spellEnd"/>
      <w:r>
        <w:t xml:space="preserve"> HT) et inférieur à </w:t>
      </w:r>
      <w:r w:rsidR="00C67FDD">
        <w:t>90 000</w:t>
      </w:r>
      <w:r>
        <w:t xml:space="preserve"> € HT (</w:t>
      </w:r>
      <w:r w:rsidR="00C67FDD">
        <w:t>900 000</w:t>
      </w:r>
      <w:r>
        <w:t xml:space="preserve"> </w:t>
      </w:r>
      <w:proofErr w:type="spellStart"/>
      <w:r>
        <w:t>Dhs</w:t>
      </w:r>
      <w:proofErr w:type="spellEnd"/>
      <w:r>
        <w:t xml:space="preserve"> HT) font au minimum l’objet d’une publicité adaptée en fonction : </w:t>
      </w:r>
    </w:p>
    <w:p w:rsidR="009D0A7B" w:rsidRDefault="009D0A7B" w:rsidP="009D0A7B">
      <w:pPr>
        <w:pStyle w:val="Paragraphedeliste"/>
        <w:numPr>
          <w:ilvl w:val="0"/>
          <w:numId w:val="2"/>
        </w:numPr>
        <w:spacing w:after="0"/>
        <w:jc w:val="both"/>
      </w:pPr>
      <w:r>
        <w:t>De la nature et des caractéristiques du besoin à satisfaire</w:t>
      </w:r>
    </w:p>
    <w:p w:rsidR="009D0A7B" w:rsidRDefault="009D0A7B" w:rsidP="009D0A7B">
      <w:pPr>
        <w:pStyle w:val="Paragraphedeliste"/>
        <w:numPr>
          <w:ilvl w:val="0"/>
          <w:numId w:val="2"/>
        </w:numPr>
        <w:spacing w:after="0"/>
        <w:jc w:val="both"/>
      </w:pPr>
      <w:r>
        <w:t>Du nombre ou de la localisation des opérateurs économiques susceptibles d’y répondre</w:t>
      </w:r>
    </w:p>
    <w:p w:rsidR="009D0A7B" w:rsidRDefault="009D0A7B" w:rsidP="009D0A7B">
      <w:pPr>
        <w:pStyle w:val="Paragraphedeliste"/>
        <w:numPr>
          <w:ilvl w:val="0"/>
          <w:numId w:val="2"/>
        </w:numPr>
        <w:spacing w:after="0"/>
        <w:jc w:val="both"/>
      </w:pPr>
      <w:r>
        <w:t xml:space="preserve">Des circonstances de l’achat </w:t>
      </w:r>
    </w:p>
    <w:p w:rsidR="00EA2E22" w:rsidRDefault="008960E5" w:rsidP="00885C92">
      <w:pPr>
        <w:spacing w:after="0"/>
        <w:jc w:val="both"/>
      </w:pPr>
      <w:r>
        <w:t xml:space="preserve">L’obligation de publicité n’implique pas forcément publication, notamment pour les achats de faible montant. L’obligation de publicité peut prendre la forme d’une sollicitation directe de plusieurs fournisseurs par courriel ou courrier. </w:t>
      </w:r>
    </w:p>
    <w:p w:rsidR="008960E5" w:rsidRDefault="008960E5" w:rsidP="00885C92">
      <w:pPr>
        <w:spacing w:after="0"/>
        <w:jc w:val="both"/>
      </w:pPr>
    </w:p>
    <w:p w:rsidR="008960E5" w:rsidRDefault="008960E5" w:rsidP="00885C92">
      <w:pPr>
        <w:spacing w:after="0"/>
        <w:jc w:val="both"/>
      </w:pPr>
      <w:r>
        <w:t xml:space="preserve">Dans un souci d’efficience, le pôle Rabat </w:t>
      </w:r>
      <w:proofErr w:type="spellStart"/>
      <w:r>
        <w:t>Kénitra</w:t>
      </w:r>
      <w:proofErr w:type="spellEnd"/>
      <w:r>
        <w:t xml:space="preserve"> fait le choix de publier sur son </w:t>
      </w:r>
      <w:r w:rsidR="005A5594">
        <w:t xml:space="preserve">site a minima </w:t>
      </w:r>
      <w:r>
        <w:t xml:space="preserve">les documents de la consultation et veillera à préciser notamment : </w:t>
      </w:r>
    </w:p>
    <w:p w:rsidR="008960E5" w:rsidRDefault="008960E5" w:rsidP="008960E5">
      <w:pPr>
        <w:pStyle w:val="Paragraphedeliste"/>
        <w:numPr>
          <w:ilvl w:val="0"/>
          <w:numId w:val="2"/>
        </w:numPr>
        <w:spacing w:after="0"/>
        <w:jc w:val="both"/>
      </w:pPr>
      <w:r>
        <w:t>L’identité et les coordonnées de l’acheteur</w:t>
      </w:r>
    </w:p>
    <w:p w:rsidR="008960E5" w:rsidRDefault="008960E5" w:rsidP="008960E5">
      <w:pPr>
        <w:pStyle w:val="Paragraphedeliste"/>
        <w:numPr>
          <w:ilvl w:val="0"/>
          <w:numId w:val="2"/>
        </w:numPr>
        <w:spacing w:after="0"/>
        <w:jc w:val="both"/>
      </w:pPr>
      <w:r>
        <w:t>L’objet de l’achat et les conditions spécifiques de réalisation (lieu, délai etc…)</w:t>
      </w:r>
    </w:p>
    <w:p w:rsidR="008960E5" w:rsidRDefault="008960E5" w:rsidP="008960E5">
      <w:pPr>
        <w:pStyle w:val="Paragraphedeliste"/>
        <w:numPr>
          <w:ilvl w:val="0"/>
          <w:numId w:val="2"/>
        </w:numPr>
        <w:spacing w:after="0"/>
        <w:jc w:val="both"/>
      </w:pPr>
      <w:r>
        <w:t>Les critères d’attribution (à défaut seul le prix sera retenu)</w:t>
      </w:r>
    </w:p>
    <w:p w:rsidR="008960E5" w:rsidRDefault="008960E5" w:rsidP="008960E5">
      <w:pPr>
        <w:pStyle w:val="Paragraphedeliste"/>
        <w:numPr>
          <w:ilvl w:val="0"/>
          <w:numId w:val="2"/>
        </w:numPr>
        <w:spacing w:after="0"/>
        <w:jc w:val="both"/>
      </w:pPr>
      <w:r>
        <w:t>Les éléments demandés à l’appui de l’offre</w:t>
      </w:r>
    </w:p>
    <w:p w:rsidR="008960E5" w:rsidRDefault="008960E5" w:rsidP="008960E5">
      <w:pPr>
        <w:pStyle w:val="Paragraphedeliste"/>
        <w:numPr>
          <w:ilvl w:val="0"/>
          <w:numId w:val="2"/>
        </w:numPr>
        <w:spacing w:after="0"/>
        <w:jc w:val="both"/>
      </w:pPr>
      <w:r>
        <w:t>Le choix de recourir ou non à la négociation</w:t>
      </w:r>
    </w:p>
    <w:p w:rsidR="005A5594" w:rsidRDefault="008960E5" w:rsidP="008960E5">
      <w:pPr>
        <w:pStyle w:val="Paragraphedeliste"/>
        <w:numPr>
          <w:ilvl w:val="0"/>
          <w:numId w:val="2"/>
        </w:numPr>
        <w:spacing w:after="0"/>
        <w:jc w:val="both"/>
      </w:pPr>
      <w:r>
        <w:t xml:space="preserve">Le délai de remise des offres </w:t>
      </w:r>
      <w:r w:rsidR="005A5594">
        <w:t xml:space="preserve">qui doit être suffisant et raisonnable </w:t>
      </w:r>
    </w:p>
    <w:p w:rsidR="005A5594" w:rsidRDefault="005A5594" w:rsidP="005A5594">
      <w:pPr>
        <w:spacing w:after="0"/>
        <w:jc w:val="both"/>
      </w:pPr>
    </w:p>
    <w:p w:rsidR="003A4C78" w:rsidRDefault="005A5594" w:rsidP="003A4C78">
      <w:pPr>
        <w:spacing w:after="0"/>
        <w:jc w:val="both"/>
      </w:pPr>
      <w:r>
        <w:t xml:space="preserve">Une publication plus large peut s’avérer nécessaire en fonction de l’objet du marché et du niveau de concurrence sur le secteur économique. </w:t>
      </w:r>
      <w:r w:rsidR="008960E5">
        <w:t xml:space="preserve"> </w:t>
      </w:r>
      <w:r>
        <w:t xml:space="preserve">Le cas échéant la publicité sera faite dans une publication spécialisée correspondant au secteur économique. </w:t>
      </w:r>
    </w:p>
    <w:p w:rsidR="002B3310" w:rsidRDefault="002B3310" w:rsidP="003A4C78">
      <w:pPr>
        <w:spacing w:after="0"/>
        <w:jc w:val="both"/>
      </w:pPr>
    </w:p>
    <w:p w:rsidR="002B3310" w:rsidRDefault="002B3310" w:rsidP="003A4C78">
      <w:pPr>
        <w:spacing w:after="0"/>
        <w:jc w:val="both"/>
      </w:pPr>
    </w:p>
    <w:p w:rsidR="003A4C78" w:rsidRDefault="003A4C78" w:rsidP="003A4C78">
      <w:pPr>
        <w:spacing w:after="0"/>
        <w:jc w:val="both"/>
      </w:pPr>
    </w:p>
    <w:p w:rsidR="003A4C78" w:rsidRDefault="003A4C78" w:rsidP="003A4C78">
      <w:pPr>
        <w:spacing w:after="0"/>
        <w:jc w:val="both"/>
      </w:pPr>
      <w:r>
        <w:lastRenderedPageBreak/>
        <w:t xml:space="preserve">Au terme de la procédure, le pouvoir adjudicateur examine les offres et procède à : </w:t>
      </w:r>
    </w:p>
    <w:p w:rsidR="003A4C78" w:rsidRDefault="003A4C78" w:rsidP="003A4C78">
      <w:pPr>
        <w:pStyle w:val="Paragraphedeliste"/>
        <w:numPr>
          <w:ilvl w:val="0"/>
          <w:numId w:val="2"/>
        </w:numPr>
        <w:spacing w:after="0"/>
        <w:jc w:val="both"/>
      </w:pPr>
      <w:r>
        <w:t>La rédaction d’une note de présentation retraçant l’historique de la procédure qui sera versée dans l’outil financier à l’appui de l’engagement juridique</w:t>
      </w:r>
    </w:p>
    <w:p w:rsidR="003A4C78" w:rsidRDefault="003A4C78" w:rsidP="003A4C78">
      <w:pPr>
        <w:pStyle w:val="Paragraphedeliste"/>
        <w:numPr>
          <w:ilvl w:val="0"/>
          <w:numId w:val="2"/>
        </w:numPr>
        <w:spacing w:after="0"/>
        <w:jc w:val="both"/>
      </w:pPr>
      <w:r>
        <w:t>L’information des candidats non retenus</w:t>
      </w:r>
    </w:p>
    <w:p w:rsidR="003A4C78" w:rsidRDefault="003A4C78" w:rsidP="003A4C78">
      <w:pPr>
        <w:pStyle w:val="Paragraphedeliste"/>
        <w:numPr>
          <w:ilvl w:val="0"/>
          <w:numId w:val="2"/>
        </w:numPr>
        <w:spacing w:after="0"/>
        <w:jc w:val="both"/>
      </w:pPr>
      <w:r>
        <w:t xml:space="preserve">La notification du titulaire </w:t>
      </w:r>
    </w:p>
    <w:p w:rsidR="00344E90" w:rsidRDefault="00344E90" w:rsidP="003A4C78">
      <w:pPr>
        <w:spacing w:after="0"/>
        <w:jc w:val="both"/>
      </w:pPr>
    </w:p>
    <w:p w:rsidR="003A4C78" w:rsidRPr="0077621B" w:rsidRDefault="003A4C78" w:rsidP="003A4C78">
      <w:pPr>
        <w:pStyle w:val="Paragraphedeliste"/>
        <w:numPr>
          <w:ilvl w:val="0"/>
          <w:numId w:val="4"/>
        </w:numPr>
        <w:spacing w:after="0"/>
        <w:jc w:val="both"/>
        <w:rPr>
          <w:b/>
        </w:rPr>
      </w:pPr>
      <w:r w:rsidRPr="0077621B">
        <w:rPr>
          <w:b/>
        </w:rPr>
        <w:t xml:space="preserve">Marché d’un montant </w:t>
      </w:r>
      <w:r w:rsidR="00D204D9">
        <w:rPr>
          <w:b/>
        </w:rPr>
        <w:t xml:space="preserve">supérieur à </w:t>
      </w:r>
      <w:r w:rsidRPr="0077621B">
        <w:rPr>
          <w:b/>
        </w:rPr>
        <w:t xml:space="preserve">90 000 </w:t>
      </w:r>
      <w:r w:rsidR="00360C3A">
        <w:rPr>
          <w:b/>
        </w:rPr>
        <w:t>€</w:t>
      </w:r>
      <w:r w:rsidR="00D204D9">
        <w:rPr>
          <w:b/>
        </w:rPr>
        <w:t xml:space="preserve"> HT (900 000 </w:t>
      </w:r>
      <w:proofErr w:type="spellStart"/>
      <w:r w:rsidR="00D204D9">
        <w:rPr>
          <w:b/>
        </w:rPr>
        <w:t>Dhs</w:t>
      </w:r>
      <w:proofErr w:type="spellEnd"/>
      <w:r w:rsidR="00D204D9">
        <w:rPr>
          <w:b/>
        </w:rPr>
        <w:t xml:space="preserve"> HT) :</w:t>
      </w:r>
    </w:p>
    <w:p w:rsidR="003A4C78" w:rsidRDefault="003A4C78" w:rsidP="003A4C78">
      <w:pPr>
        <w:spacing w:after="0"/>
        <w:jc w:val="both"/>
      </w:pPr>
    </w:p>
    <w:p w:rsidR="003A4C78" w:rsidRDefault="003A4C78" w:rsidP="003A4C78">
      <w:pPr>
        <w:spacing w:after="0"/>
        <w:jc w:val="both"/>
      </w:pPr>
      <w:r>
        <w:t xml:space="preserve">Les marchés dont le montant est supérieur à 90 000 € HT (900 000 </w:t>
      </w:r>
      <w:proofErr w:type="spellStart"/>
      <w:r>
        <w:t>Dhs</w:t>
      </w:r>
      <w:proofErr w:type="spellEnd"/>
      <w:r>
        <w:t xml:space="preserve">) </w:t>
      </w:r>
      <w:r w:rsidR="00900336">
        <w:t xml:space="preserve">font au minimum l’objet d’un avis d’appel public à la concurrence : </w:t>
      </w:r>
    </w:p>
    <w:p w:rsidR="002B3310" w:rsidRDefault="00900336" w:rsidP="00900336">
      <w:pPr>
        <w:pStyle w:val="Paragraphedeliste"/>
        <w:numPr>
          <w:ilvl w:val="0"/>
          <w:numId w:val="2"/>
        </w:numPr>
        <w:spacing w:after="0"/>
        <w:jc w:val="both"/>
      </w:pPr>
      <w:r>
        <w:t>Publié au B</w:t>
      </w:r>
      <w:r w:rsidR="002B3310">
        <w:t xml:space="preserve">ulletin Officiel des annonces légales, judiciaires et administratives </w:t>
      </w:r>
    </w:p>
    <w:p w:rsidR="00900336" w:rsidRDefault="002B3310" w:rsidP="00900336">
      <w:pPr>
        <w:pStyle w:val="Paragraphedeliste"/>
        <w:numPr>
          <w:ilvl w:val="0"/>
          <w:numId w:val="2"/>
        </w:numPr>
        <w:spacing w:after="0"/>
        <w:jc w:val="both"/>
      </w:pPr>
      <w:r>
        <w:t xml:space="preserve">Publié sur le site de l’établissement </w:t>
      </w:r>
      <w:r w:rsidR="00900336">
        <w:t xml:space="preserve"> </w:t>
      </w:r>
    </w:p>
    <w:p w:rsidR="00900336" w:rsidRDefault="00900336" w:rsidP="00900336">
      <w:pPr>
        <w:pStyle w:val="Paragraphedeliste"/>
        <w:numPr>
          <w:ilvl w:val="0"/>
          <w:numId w:val="2"/>
        </w:numPr>
        <w:spacing w:after="0"/>
        <w:jc w:val="both"/>
      </w:pPr>
      <w:r>
        <w:t xml:space="preserve">Publié sur une revue spécialisée correspondant au secteur économique </w:t>
      </w:r>
    </w:p>
    <w:p w:rsidR="00900336" w:rsidRDefault="00900336" w:rsidP="00900336">
      <w:pPr>
        <w:spacing w:after="0"/>
        <w:jc w:val="both"/>
      </w:pPr>
    </w:p>
    <w:p w:rsidR="00900336" w:rsidRDefault="00900336" w:rsidP="00900336">
      <w:pPr>
        <w:spacing w:after="0"/>
        <w:jc w:val="both"/>
      </w:pPr>
      <w:r>
        <w:t xml:space="preserve">Les documents de la consultation sont mis à la disposition des opérateurs économiques souhaitant y répondre. Ils définissent les besoins de l’acheteur et décrivent les modalités de la procédure de passation. </w:t>
      </w:r>
    </w:p>
    <w:p w:rsidR="00900336" w:rsidRDefault="00900336" w:rsidP="00900336">
      <w:pPr>
        <w:spacing w:after="0"/>
        <w:jc w:val="both"/>
      </w:pPr>
      <w:r>
        <w:t xml:space="preserve">Les informations fournies doivent être suffisamment précises pour leur permettre de déterminer la nature et l’étendue du besoin à satisfaire et décider s’ils participent ou non à la procédure. </w:t>
      </w:r>
    </w:p>
    <w:p w:rsidR="00900336" w:rsidRDefault="00900336" w:rsidP="00900336">
      <w:pPr>
        <w:spacing w:after="0"/>
        <w:jc w:val="both"/>
      </w:pPr>
    </w:p>
    <w:p w:rsidR="00900336" w:rsidRDefault="00900336" w:rsidP="00900336">
      <w:pPr>
        <w:spacing w:after="0"/>
        <w:jc w:val="both"/>
      </w:pPr>
      <w:r>
        <w:t xml:space="preserve">Ils comprendront obligatoirement : </w:t>
      </w:r>
    </w:p>
    <w:p w:rsidR="00900336" w:rsidRDefault="00900336" w:rsidP="00900336">
      <w:pPr>
        <w:pStyle w:val="Paragraphedeliste"/>
        <w:numPr>
          <w:ilvl w:val="0"/>
          <w:numId w:val="2"/>
        </w:numPr>
        <w:spacing w:after="0"/>
        <w:jc w:val="both"/>
      </w:pPr>
      <w:r>
        <w:t>Un règlement de consultation</w:t>
      </w:r>
      <w:r w:rsidR="002B3310">
        <w:t xml:space="preserve"> qui explicitera les critères et leur pondération </w:t>
      </w:r>
    </w:p>
    <w:p w:rsidR="00900336" w:rsidRDefault="00900336" w:rsidP="00900336">
      <w:pPr>
        <w:pStyle w:val="Paragraphedeliste"/>
        <w:numPr>
          <w:ilvl w:val="0"/>
          <w:numId w:val="2"/>
        </w:numPr>
        <w:spacing w:after="0"/>
        <w:jc w:val="both"/>
      </w:pPr>
      <w:r>
        <w:t>Un acte d’engagement</w:t>
      </w:r>
    </w:p>
    <w:p w:rsidR="00900336" w:rsidRDefault="00900336" w:rsidP="00900336">
      <w:pPr>
        <w:pStyle w:val="Paragraphedeliste"/>
        <w:numPr>
          <w:ilvl w:val="0"/>
          <w:numId w:val="2"/>
        </w:numPr>
        <w:spacing w:after="0"/>
        <w:jc w:val="both"/>
      </w:pPr>
      <w:r>
        <w:t xml:space="preserve">Un cahier des charges </w:t>
      </w:r>
      <w:r w:rsidR="0077621B">
        <w:t xml:space="preserve">ou un cahier des clauses administratives particulières et un cahier des clauses techniques particulières faisant référence au cahier des clauses administratives générales </w:t>
      </w:r>
    </w:p>
    <w:p w:rsidR="004D0A7D" w:rsidRDefault="004D0A7D" w:rsidP="004D0A7D">
      <w:pPr>
        <w:pStyle w:val="Paragraphedeliste"/>
        <w:spacing w:after="0"/>
        <w:ind w:left="1080"/>
        <w:jc w:val="both"/>
      </w:pPr>
    </w:p>
    <w:p w:rsidR="004D0A7D" w:rsidRDefault="004D0A7D" w:rsidP="004D0A7D">
      <w:pPr>
        <w:spacing w:after="0"/>
        <w:jc w:val="both"/>
      </w:pPr>
      <w:r>
        <w:t xml:space="preserve">Le délai de réponse laissé </w:t>
      </w:r>
      <w:proofErr w:type="spellStart"/>
      <w:r>
        <w:t>entre</w:t>
      </w:r>
      <w:proofErr w:type="spellEnd"/>
      <w:r>
        <w:t xml:space="preserve"> l’avis d’appel public à concurrence </w:t>
      </w:r>
      <w:r w:rsidR="00A73941">
        <w:t xml:space="preserve">et la date limite de remise des offres est un délai suffisant et raisonnable au moins égal à trois semaines sauf situations exceptionnelles. </w:t>
      </w:r>
    </w:p>
    <w:p w:rsidR="00A73941" w:rsidRDefault="00A73941" w:rsidP="004D0A7D">
      <w:pPr>
        <w:spacing w:after="0"/>
        <w:jc w:val="both"/>
      </w:pPr>
    </w:p>
    <w:p w:rsidR="00A73941" w:rsidRDefault="00A73941" w:rsidP="004D0A7D">
      <w:pPr>
        <w:spacing w:after="0"/>
        <w:jc w:val="both"/>
      </w:pPr>
      <w:r>
        <w:t>Au terme de</w:t>
      </w:r>
      <w:r w:rsidR="00C67FDD">
        <w:t xml:space="preserve"> la réception des offres </w:t>
      </w:r>
      <w:r>
        <w:t xml:space="preserve">la procédure est la suivante : </w:t>
      </w:r>
    </w:p>
    <w:p w:rsidR="002B3310" w:rsidRDefault="002B3310" w:rsidP="002B3310">
      <w:pPr>
        <w:pStyle w:val="Paragraphedeliste"/>
        <w:numPr>
          <w:ilvl w:val="0"/>
          <w:numId w:val="2"/>
        </w:numPr>
        <w:spacing w:after="0"/>
        <w:jc w:val="both"/>
      </w:pPr>
      <w:r>
        <w:t>Réunion de la commission d’appel d’offres qui comprend :</w:t>
      </w:r>
    </w:p>
    <w:p w:rsidR="00C67FDD" w:rsidRDefault="002B3310" w:rsidP="002B3310">
      <w:pPr>
        <w:pStyle w:val="Paragraphedeliste"/>
        <w:numPr>
          <w:ilvl w:val="0"/>
          <w:numId w:val="6"/>
        </w:numPr>
        <w:spacing w:after="0"/>
        <w:jc w:val="both"/>
      </w:pPr>
      <w:r>
        <w:t xml:space="preserve">l’ordonnateur secondaire </w:t>
      </w:r>
      <w:r w:rsidR="00C67FDD">
        <w:t>ou son représentant</w:t>
      </w:r>
    </w:p>
    <w:p w:rsidR="00C67FDD" w:rsidRDefault="00C67FDD" w:rsidP="002B3310">
      <w:pPr>
        <w:pStyle w:val="Paragraphedeliste"/>
        <w:numPr>
          <w:ilvl w:val="0"/>
          <w:numId w:val="6"/>
        </w:numPr>
        <w:spacing w:after="0"/>
        <w:jc w:val="both"/>
      </w:pPr>
      <w:r>
        <w:t>la Secrétaire générale ou son représentant</w:t>
      </w:r>
    </w:p>
    <w:p w:rsidR="00C67FDD" w:rsidRDefault="00C67FDD" w:rsidP="002B3310">
      <w:pPr>
        <w:pStyle w:val="Paragraphedeliste"/>
        <w:numPr>
          <w:ilvl w:val="0"/>
          <w:numId w:val="6"/>
        </w:numPr>
        <w:spacing w:after="0"/>
        <w:jc w:val="both"/>
      </w:pPr>
      <w:r>
        <w:t>la Cheffe du bureau du budget</w:t>
      </w:r>
    </w:p>
    <w:p w:rsidR="00C67FDD" w:rsidRDefault="00C67FDD" w:rsidP="002B3310">
      <w:pPr>
        <w:pStyle w:val="Paragraphedeliste"/>
        <w:numPr>
          <w:ilvl w:val="0"/>
          <w:numId w:val="6"/>
        </w:numPr>
        <w:spacing w:after="0"/>
        <w:jc w:val="both"/>
      </w:pPr>
      <w:r>
        <w:t xml:space="preserve">la Responsable des achats </w:t>
      </w:r>
    </w:p>
    <w:p w:rsidR="00C67FDD" w:rsidRDefault="00C67FDD" w:rsidP="002B3310">
      <w:pPr>
        <w:pStyle w:val="Paragraphedeliste"/>
        <w:numPr>
          <w:ilvl w:val="0"/>
          <w:numId w:val="6"/>
        </w:numPr>
        <w:spacing w:after="0"/>
        <w:jc w:val="both"/>
      </w:pPr>
      <w:r>
        <w:t xml:space="preserve">l’Agent comptable </w:t>
      </w:r>
    </w:p>
    <w:p w:rsidR="002B3310" w:rsidRDefault="00C67FDD" w:rsidP="002B3310">
      <w:pPr>
        <w:pStyle w:val="Paragraphedeliste"/>
        <w:numPr>
          <w:ilvl w:val="0"/>
          <w:numId w:val="6"/>
        </w:numPr>
        <w:spacing w:after="0"/>
        <w:jc w:val="both"/>
      </w:pPr>
      <w:r>
        <w:t xml:space="preserve">Tout expert désigné </w:t>
      </w:r>
      <w:r w:rsidR="002B3310">
        <w:t xml:space="preserve">  </w:t>
      </w:r>
    </w:p>
    <w:p w:rsidR="00A73941" w:rsidRDefault="00A73941" w:rsidP="00A73941">
      <w:pPr>
        <w:pStyle w:val="Paragraphedeliste"/>
        <w:numPr>
          <w:ilvl w:val="0"/>
          <w:numId w:val="2"/>
        </w:numPr>
        <w:spacing w:after="0"/>
        <w:jc w:val="both"/>
      </w:pPr>
      <w:r>
        <w:t>Rédaction d’une</w:t>
      </w:r>
      <w:r w:rsidR="00360C3A">
        <w:t xml:space="preserve"> </w:t>
      </w:r>
      <w:r>
        <w:t>note de présentation retraçant l’historique de la procédure et d’un rapport d’analyse des offres</w:t>
      </w:r>
    </w:p>
    <w:p w:rsidR="00A73941" w:rsidRDefault="00A73941" w:rsidP="00A73941">
      <w:pPr>
        <w:pStyle w:val="Paragraphedeliste"/>
        <w:numPr>
          <w:ilvl w:val="0"/>
          <w:numId w:val="2"/>
        </w:numPr>
        <w:spacing w:after="0"/>
        <w:jc w:val="both"/>
      </w:pPr>
      <w:r>
        <w:lastRenderedPageBreak/>
        <w:t>Information des candidats rejetés</w:t>
      </w:r>
    </w:p>
    <w:p w:rsidR="00A73941" w:rsidRDefault="00A73941" w:rsidP="00A73941">
      <w:pPr>
        <w:pStyle w:val="Paragraphedeliste"/>
        <w:numPr>
          <w:ilvl w:val="0"/>
          <w:numId w:val="2"/>
        </w:numPr>
        <w:spacing w:after="0"/>
        <w:jc w:val="both"/>
      </w:pPr>
      <w:r>
        <w:t xml:space="preserve">Délai de suspension entre cette information et </w:t>
      </w:r>
      <w:r w:rsidR="00344E90">
        <w:t>la</w:t>
      </w:r>
      <w:r>
        <w:t xml:space="preserve"> signature du marché : 7 jours minimum</w:t>
      </w:r>
    </w:p>
    <w:p w:rsidR="00360C3A" w:rsidRDefault="00A73941" w:rsidP="00425ECD">
      <w:pPr>
        <w:pStyle w:val="Paragraphedeliste"/>
        <w:numPr>
          <w:ilvl w:val="0"/>
          <w:numId w:val="2"/>
        </w:numPr>
        <w:spacing w:after="0"/>
        <w:jc w:val="both"/>
      </w:pPr>
      <w:r>
        <w:t>Notification au titulaire</w:t>
      </w:r>
    </w:p>
    <w:p w:rsidR="00D204D9" w:rsidRDefault="00D204D9" w:rsidP="00D204D9">
      <w:pPr>
        <w:pStyle w:val="Paragraphedeliste"/>
        <w:spacing w:after="0"/>
        <w:ind w:left="1080"/>
        <w:jc w:val="both"/>
      </w:pPr>
      <w:bookmarkStart w:id="0" w:name="_GoBack"/>
      <w:bookmarkEnd w:id="0"/>
    </w:p>
    <w:p w:rsidR="00360C3A" w:rsidRPr="004A4913" w:rsidRDefault="00360C3A" w:rsidP="00360C3A">
      <w:pPr>
        <w:pStyle w:val="Paragraphedeliste"/>
        <w:numPr>
          <w:ilvl w:val="0"/>
          <w:numId w:val="4"/>
        </w:numPr>
        <w:shd w:val="clear" w:color="auto" w:fill="FCFCFC"/>
        <w:spacing w:before="240" w:after="240" w:line="240" w:lineRule="auto"/>
        <w:textAlignment w:val="baseline"/>
        <w:rPr>
          <w:b/>
        </w:rPr>
      </w:pPr>
      <w:r w:rsidRPr="004A4913">
        <w:rPr>
          <w:b/>
        </w:rPr>
        <w:t xml:space="preserve">SYNTHSEE DES SEUILS </w:t>
      </w:r>
    </w:p>
    <w:tbl>
      <w:tblPr>
        <w:tblStyle w:val="Grilledutableau"/>
        <w:tblW w:w="10627" w:type="dxa"/>
        <w:jc w:val="center"/>
        <w:tblLook w:val="04A0" w:firstRow="1" w:lastRow="0" w:firstColumn="1" w:lastColumn="0" w:noHBand="0" w:noVBand="1"/>
      </w:tblPr>
      <w:tblGrid>
        <w:gridCol w:w="1271"/>
        <w:gridCol w:w="2353"/>
        <w:gridCol w:w="1758"/>
        <w:gridCol w:w="5245"/>
      </w:tblGrid>
      <w:tr w:rsidR="00A97578" w:rsidTr="00A97578">
        <w:trPr>
          <w:jc w:val="center"/>
        </w:trPr>
        <w:tc>
          <w:tcPr>
            <w:tcW w:w="1271" w:type="dxa"/>
          </w:tcPr>
          <w:p w:rsidR="00A97578" w:rsidRDefault="00A97578" w:rsidP="00360C3A">
            <w:pPr>
              <w:spacing w:before="240" w:after="240"/>
              <w:textAlignment w:val="baseline"/>
            </w:pPr>
          </w:p>
        </w:tc>
        <w:tc>
          <w:tcPr>
            <w:tcW w:w="2353" w:type="dxa"/>
          </w:tcPr>
          <w:p w:rsidR="00A97578" w:rsidRDefault="00A97578" w:rsidP="005D46A0">
            <w:pPr>
              <w:spacing w:before="240" w:after="240"/>
              <w:jc w:val="center"/>
              <w:textAlignment w:val="baseline"/>
            </w:pPr>
            <w:r>
              <w:t>Publicité non obligatoire</w:t>
            </w:r>
          </w:p>
        </w:tc>
        <w:tc>
          <w:tcPr>
            <w:tcW w:w="1758" w:type="dxa"/>
          </w:tcPr>
          <w:p w:rsidR="00A97578" w:rsidRDefault="00A97578" w:rsidP="005D46A0">
            <w:pPr>
              <w:spacing w:before="240" w:after="240"/>
              <w:jc w:val="center"/>
              <w:textAlignment w:val="baseline"/>
            </w:pPr>
            <w:r>
              <w:t>Publicité libre ou adaptée</w:t>
            </w:r>
          </w:p>
        </w:tc>
        <w:tc>
          <w:tcPr>
            <w:tcW w:w="5245" w:type="dxa"/>
          </w:tcPr>
          <w:p w:rsidR="00A97578" w:rsidRDefault="00A97578" w:rsidP="00A97578">
            <w:pPr>
              <w:spacing w:before="240" w:after="240"/>
              <w:jc w:val="center"/>
              <w:textAlignment w:val="baseline"/>
            </w:pPr>
            <w:r>
              <w:t xml:space="preserve">Publicité au Bulletin officiel des annonces légales, judiciaires et administratives </w:t>
            </w:r>
          </w:p>
          <w:p w:rsidR="00A97578" w:rsidRDefault="00A97578" w:rsidP="00A97578">
            <w:pPr>
              <w:spacing w:before="240" w:after="240"/>
              <w:jc w:val="center"/>
              <w:textAlignment w:val="baseline"/>
            </w:pPr>
            <w:r>
              <w:t>(en langue française et en langue arabe)</w:t>
            </w:r>
          </w:p>
          <w:p w:rsidR="00A97578" w:rsidRDefault="00A97578" w:rsidP="00A97578">
            <w:pPr>
              <w:spacing w:before="240" w:after="240"/>
              <w:jc w:val="center"/>
              <w:textAlignment w:val="baseline"/>
            </w:pPr>
            <w:r>
              <w:t>A la discrétion du pouvoir adjudicateur : BOAMP et JOUE</w:t>
            </w:r>
          </w:p>
        </w:tc>
      </w:tr>
      <w:tr w:rsidR="00A97578" w:rsidTr="00A97578">
        <w:trPr>
          <w:trHeight w:val="1534"/>
          <w:jc w:val="center"/>
        </w:trPr>
        <w:tc>
          <w:tcPr>
            <w:tcW w:w="1271" w:type="dxa"/>
          </w:tcPr>
          <w:p w:rsidR="00A97578" w:rsidRDefault="00A97578" w:rsidP="004A4913">
            <w:pPr>
              <w:spacing w:before="240" w:after="240"/>
              <w:jc w:val="center"/>
              <w:textAlignment w:val="baseline"/>
            </w:pPr>
            <w:r>
              <w:t>Fournitures et services</w:t>
            </w:r>
          </w:p>
          <w:p w:rsidR="00A97578" w:rsidRDefault="00A97578" w:rsidP="004A4913">
            <w:pPr>
              <w:spacing w:before="240" w:after="240"/>
              <w:jc w:val="center"/>
              <w:textAlignment w:val="baseline"/>
            </w:pPr>
            <w:r>
              <w:t>€</w:t>
            </w:r>
          </w:p>
        </w:tc>
        <w:tc>
          <w:tcPr>
            <w:tcW w:w="2353" w:type="dxa"/>
          </w:tcPr>
          <w:p w:rsidR="00A97578" w:rsidRDefault="00A97578" w:rsidP="00360C3A">
            <w:pPr>
              <w:spacing w:before="240" w:after="240"/>
              <w:textAlignment w:val="baseline"/>
            </w:pPr>
            <w:r>
              <w:t>En dessous de 40 000 €</w:t>
            </w:r>
          </w:p>
        </w:tc>
        <w:tc>
          <w:tcPr>
            <w:tcW w:w="1758" w:type="dxa"/>
          </w:tcPr>
          <w:p w:rsidR="00A97578" w:rsidRDefault="00A97578" w:rsidP="00360C3A">
            <w:pPr>
              <w:spacing w:before="240" w:after="240"/>
              <w:textAlignment w:val="baseline"/>
            </w:pPr>
            <w:r>
              <w:t xml:space="preserve">De 40 000 € </w:t>
            </w:r>
          </w:p>
          <w:p w:rsidR="00A97578" w:rsidRDefault="00A97578" w:rsidP="00360C3A">
            <w:pPr>
              <w:spacing w:before="240" w:after="240"/>
              <w:textAlignment w:val="baseline"/>
            </w:pPr>
            <w:r>
              <w:t>jusqu’à</w:t>
            </w:r>
          </w:p>
          <w:p w:rsidR="00A97578" w:rsidRDefault="00A97578" w:rsidP="00360C3A">
            <w:pPr>
              <w:spacing w:before="240" w:after="240"/>
              <w:textAlignment w:val="baseline"/>
            </w:pPr>
            <w:r>
              <w:t xml:space="preserve"> 89 999,99 €</w:t>
            </w:r>
          </w:p>
        </w:tc>
        <w:tc>
          <w:tcPr>
            <w:tcW w:w="5245" w:type="dxa"/>
          </w:tcPr>
          <w:p w:rsidR="00A97578" w:rsidRDefault="00A97578" w:rsidP="00A97578">
            <w:pPr>
              <w:spacing w:before="240" w:after="240"/>
              <w:textAlignment w:val="baseline"/>
            </w:pPr>
            <w:r>
              <w:t>A partir de 90 000 €</w:t>
            </w:r>
          </w:p>
        </w:tc>
      </w:tr>
      <w:tr w:rsidR="00A97578" w:rsidTr="00A97578">
        <w:trPr>
          <w:jc w:val="center"/>
        </w:trPr>
        <w:tc>
          <w:tcPr>
            <w:tcW w:w="1271" w:type="dxa"/>
            <w:shd w:val="clear" w:color="auto" w:fill="D9D9D9" w:themeFill="background1" w:themeFillShade="D9"/>
          </w:tcPr>
          <w:p w:rsidR="00A97578" w:rsidRDefault="00A97578" w:rsidP="004A4913">
            <w:pPr>
              <w:spacing w:before="240" w:after="240"/>
              <w:jc w:val="center"/>
              <w:textAlignment w:val="baseline"/>
            </w:pPr>
            <w:r>
              <w:t>Fournitures et services</w:t>
            </w:r>
          </w:p>
          <w:p w:rsidR="00A97578" w:rsidRDefault="00A97578" w:rsidP="004A4913">
            <w:pPr>
              <w:spacing w:before="240" w:after="240"/>
              <w:jc w:val="center"/>
              <w:textAlignment w:val="baseline"/>
            </w:pPr>
            <w:r>
              <w:t>DHS</w:t>
            </w:r>
          </w:p>
        </w:tc>
        <w:tc>
          <w:tcPr>
            <w:tcW w:w="2353" w:type="dxa"/>
            <w:shd w:val="clear" w:color="auto" w:fill="D9D9D9" w:themeFill="background1" w:themeFillShade="D9"/>
          </w:tcPr>
          <w:p w:rsidR="00A97578" w:rsidRDefault="00A97578" w:rsidP="004A4913">
            <w:pPr>
              <w:spacing w:before="240" w:after="240"/>
              <w:textAlignment w:val="baseline"/>
            </w:pPr>
            <w:r>
              <w:t xml:space="preserve">En dessous de </w:t>
            </w:r>
          </w:p>
          <w:p w:rsidR="00A97578" w:rsidRDefault="00A97578" w:rsidP="004A4913">
            <w:pPr>
              <w:spacing w:before="240" w:after="240"/>
              <w:textAlignment w:val="baseline"/>
            </w:pPr>
            <w:r>
              <w:t xml:space="preserve">400 000 </w:t>
            </w:r>
            <w:proofErr w:type="spellStart"/>
            <w:r>
              <w:t>Dhs</w:t>
            </w:r>
            <w:proofErr w:type="spellEnd"/>
          </w:p>
        </w:tc>
        <w:tc>
          <w:tcPr>
            <w:tcW w:w="1758" w:type="dxa"/>
            <w:shd w:val="clear" w:color="auto" w:fill="D9D9D9" w:themeFill="background1" w:themeFillShade="D9"/>
          </w:tcPr>
          <w:p w:rsidR="00A97578" w:rsidRDefault="00A97578" w:rsidP="00360C3A">
            <w:pPr>
              <w:spacing w:before="240" w:after="240"/>
              <w:textAlignment w:val="baseline"/>
            </w:pPr>
            <w:r>
              <w:t xml:space="preserve">De 400 000 </w:t>
            </w:r>
            <w:proofErr w:type="spellStart"/>
            <w:r>
              <w:t>Dhs</w:t>
            </w:r>
            <w:proofErr w:type="spellEnd"/>
          </w:p>
          <w:p w:rsidR="00A97578" w:rsidRDefault="00A97578" w:rsidP="00360C3A">
            <w:pPr>
              <w:spacing w:before="240" w:after="240"/>
              <w:textAlignment w:val="baseline"/>
            </w:pPr>
            <w:r>
              <w:t>À</w:t>
            </w:r>
          </w:p>
          <w:p w:rsidR="00A97578" w:rsidRDefault="00A97578" w:rsidP="005D46A0">
            <w:pPr>
              <w:spacing w:before="240" w:after="240"/>
              <w:textAlignment w:val="baseline"/>
            </w:pPr>
            <w:r>
              <w:t xml:space="preserve">899 999 </w:t>
            </w:r>
            <w:proofErr w:type="spellStart"/>
            <w:r>
              <w:t>Dhs</w:t>
            </w:r>
            <w:proofErr w:type="spellEnd"/>
          </w:p>
        </w:tc>
        <w:tc>
          <w:tcPr>
            <w:tcW w:w="5245" w:type="dxa"/>
            <w:shd w:val="clear" w:color="auto" w:fill="D9D9D9" w:themeFill="background1" w:themeFillShade="D9"/>
          </w:tcPr>
          <w:p w:rsidR="00A97578" w:rsidRDefault="00A97578" w:rsidP="00A97578">
            <w:pPr>
              <w:spacing w:before="240" w:after="240"/>
              <w:textAlignment w:val="baseline"/>
            </w:pPr>
            <w:r>
              <w:t xml:space="preserve">A partir de 900 000 </w:t>
            </w:r>
            <w:proofErr w:type="spellStart"/>
            <w:r>
              <w:t>Dhs</w:t>
            </w:r>
            <w:proofErr w:type="spellEnd"/>
          </w:p>
        </w:tc>
      </w:tr>
      <w:tr w:rsidR="00A97578" w:rsidTr="00A97578">
        <w:trPr>
          <w:trHeight w:val="1528"/>
          <w:jc w:val="center"/>
        </w:trPr>
        <w:tc>
          <w:tcPr>
            <w:tcW w:w="1271" w:type="dxa"/>
          </w:tcPr>
          <w:p w:rsidR="00A97578" w:rsidRDefault="00A97578" w:rsidP="004A4913">
            <w:pPr>
              <w:spacing w:before="240" w:after="240"/>
              <w:jc w:val="center"/>
              <w:textAlignment w:val="baseline"/>
            </w:pPr>
            <w:r>
              <w:t>Travaux</w:t>
            </w:r>
          </w:p>
          <w:p w:rsidR="00A97578" w:rsidRDefault="00A97578" w:rsidP="004A4913">
            <w:pPr>
              <w:spacing w:before="240" w:after="240"/>
              <w:jc w:val="center"/>
              <w:textAlignment w:val="baseline"/>
            </w:pPr>
            <w:r>
              <w:t>€</w:t>
            </w:r>
          </w:p>
        </w:tc>
        <w:tc>
          <w:tcPr>
            <w:tcW w:w="2353" w:type="dxa"/>
          </w:tcPr>
          <w:p w:rsidR="00A97578" w:rsidRDefault="00A97578" w:rsidP="00360C3A">
            <w:pPr>
              <w:spacing w:before="240" w:after="240"/>
              <w:textAlignment w:val="baseline"/>
            </w:pPr>
            <w:r>
              <w:t>En dessous de 40 000 €</w:t>
            </w:r>
          </w:p>
        </w:tc>
        <w:tc>
          <w:tcPr>
            <w:tcW w:w="1758" w:type="dxa"/>
          </w:tcPr>
          <w:p w:rsidR="00A97578" w:rsidRDefault="00A97578" w:rsidP="00360C3A">
            <w:pPr>
              <w:spacing w:before="240" w:after="240"/>
              <w:textAlignment w:val="baseline"/>
            </w:pPr>
            <w:r>
              <w:t xml:space="preserve">De 40 000 € </w:t>
            </w:r>
          </w:p>
          <w:p w:rsidR="00A97578" w:rsidRDefault="00A97578" w:rsidP="00360C3A">
            <w:pPr>
              <w:spacing w:before="240" w:after="240"/>
              <w:textAlignment w:val="baseline"/>
            </w:pPr>
            <w:r>
              <w:t>jusqu’à</w:t>
            </w:r>
          </w:p>
          <w:p w:rsidR="00A97578" w:rsidRDefault="00A97578" w:rsidP="00360C3A">
            <w:pPr>
              <w:spacing w:before="240" w:after="240"/>
              <w:textAlignment w:val="baseline"/>
            </w:pPr>
            <w:r>
              <w:t xml:space="preserve"> 89 999,99 €</w:t>
            </w:r>
          </w:p>
        </w:tc>
        <w:tc>
          <w:tcPr>
            <w:tcW w:w="5245" w:type="dxa"/>
          </w:tcPr>
          <w:p w:rsidR="00A97578" w:rsidRDefault="00A97578" w:rsidP="00A97578">
            <w:pPr>
              <w:spacing w:before="240" w:after="240"/>
              <w:textAlignment w:val="baseline"/>
            </w:pPr>
            <w:r>
              <w:t xml:space="preserve">A partir de 90 000 € </w:t>
            </w:r>
          </w:p>
        </w:tc>
      </w:tr>
      <w:tr w:rsidR="00A97578" w:rsidTr="00A97578">
        <w:trPr>
          <w:jc w:val="center"/>
        </w:trPr>
        <w:tc>
          <w:tcPr>
            <w:tcW w:w="1271" w:type="dxa"/>
            <w:shd w:val="clear" w:color="auto" w:fill="D9D9D9" w:themeFill="background1" w:themeFillShade="D9"/>
          </w:tcPr>
          <w:p w:rsidR="00A97578" w:rsidRDefault="00A97578" w:rsidP="004A4913">
            <w:pPr>
              <w:spacing w:before="240" w:after="240"/>
              <w:jc w:val="center"/>
              <w:textAlignment w:val="baseline"/>
            </w:pPr>
            <w:r>
              <w:t>Travaux</w:t>
            </w:r>
          </w:p>
          <w:p w:rsidR="00A97578" w:rsidRDefault="00A97578" w:rsidP="004A4913">
            <w:pPr>
              <w:spacing w:before="240" w:after="240"/>
              <w:jc w:val="center"/>
              <w:textAlignment w:val="baseline"/>
            </w:pPr>
            <w:r>
              <w:t>DHS</w:t>
            </w:r>
          </w:p>
        </w:tc>
        <w:tc>
          <w:tcPr>
            <w:tcW w:w="2353" w:type="dxa"/>
            <w:shd w:val="clear" w:color="auto" w:fill="D9D9D9" w:themeFill="background1" w:themeFillShade="D9"/>
          </w:tcPr>
          <w:p w:rsidR="00A97578" w:rsidRDefault="00A97578" w:rsidP="00360C3A">
            <w:pPr>
              <w:spacing w:before="240" w:after="240"/>
              <w:textAlignment w:val="baseline"/>
            </w:pPr>
            <w:r>
              <w:t xml:space="preserve">En dessous de </w:t>
            </w:r>
          </w:p>
          <w:p w:rsidR="00A97578" w:rsidRDefault="00A97578" w:rsidP="00360C3A">
            <w:pPr>
              <w:spacing w:before="240" w:after="240"/>
              <w:textAlignment w:val="baseline"/>
            </w:pPr>
            <w:r>
              <w:t xml:space="preserve">400 000 </w:t>
            </w:r>
            <w:proofErr w:type="spellStart"/>
            <w:r>
              <w:t>Dhs</w:t>
            </w:r>
            <w:proofErr w:type="spellEnd"/>
          </w:p>
        </w:tc>
        <w:tc>
          <w:tcPr>
            <w:tcW w:w="1758" w:type="dxa"/>
            <w:shd w:val="clear" w:color="auto" w:fill="D9D9D9" w:themeFill="background1" w:themeFillShade="D9"/>
          </w:tcPr>
          <w:p w:rsidR="00A97578" w:rsidRDefault="00A97578" w:rsidP="005D46A0">
            <w:pPr>
              <w:spacing w:before="240" w:after="240"/>
              <w:textAlignment w:val="baseline"/>
            </w:pPr>
            <w:r>
              <w:t xml:space="preserve">De 400 000 </w:t>
            </w:r>
            <w:proofErr w:type="spellStart"/>
            <w:r>
              <w:t>Dhs</w:t>
            </w:r>
            <w:proofErr w:type="spellEnd"/>
          </w:p>
          <w:p w:rsidR="00A97578" w:rsidRDefault="00A97578" w:rsidP="005D46A0">
            <w:pPr>
              <w:spacing w:before="240" w:after="240"/>
              <w:textAlignment w:val="baseline"/>
            </w:pPr>
            <w:r>
              <w:t xml:space="preserve">Jusqu’à </w:t>
            </w:r>
          </w:p>
          <w:p w:rsidR="00A97578" w:rsidRDefault="00A97578" w:rsidP="005D46A0">
            <w:pPr>
              <w:spacing w:before="240" w:after="240"/>
              <w:textAlignment w:val="baseline"/>
            </w:pPr>
            <w:r>
              <w:t xml:space="preserve">899 999 </w:t>
            </w:r>
            <w:proofErr w:type="spellStart"/>
            <w:r>
              <w:t>Dhs</w:t>
            </w:r>
            <w:proofErr w:type="spellEnd"/>
            <w:r>
              <w:t xml:space="preserve"> </w:t>
            </w:r>
          </w:p>
        </w:tc>
        <w:tc>
          <w:tcPr>
            <w:tcW w:w="5245" w:type="dxa"/>
            <w:shd w:val="clear" w:color="auto" w:fill="D9D9D9" w:themeFill="background1" w:themeFillShade="D9"/>
          </w:tcPr>
          <w:p w:rsidR="00A97578" w:rsidRDefault="00A97578" w:rsidP="00360C3A">
            <w:pPr>
              <w:spacing w:before="240" w:after="240"/>
              <w:textAlignment w:val="baseline"/>
            </w:pPr>
            <w:r>
              <w:t xml:space="preserve">A partir de 900 000 </w:t>
            </w:r>
            <w:proofErr w:type="spellStart"/>
            <w:r>
              <w:t>Dhs</w:t>
            </w:r>
            <w:proofErr w:type="spellEnd"/>
            <w:r>
              <w:t xml:space="preserve"> </w:t>
            </w:r>
          </w:p>
          <w:p w:rsidR="00A97578" w:rsidRDefault="00A97578" w:rsidP="005D46A0">
            <w:pPr>
              <w:spacing w:before="240" w:after="240"/>
              <w:textAlignment w:val="baseline"/>
            </w:pPr>
          </w:p>
        </w:tc>
      </w:tr>
    </w:tbl>
    <w:p w:rsidR="00A73941" w:rsidRDefault="00A73941" w:rsidP="004D0A7D">
      <w:pPr>
        <w:spacing w:after="0"/>
        <w:jc w:val="both"/>
      </w:pPr>
    </w:p>
    <w:sectPr w:rsidR="00A73941" w:rsidSect="00344E90">
      <w:headerReference w:type="default" r:id="rId7"/>
      <w:footerReference w:type="default" r:id="rId8"/>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913" w:rsidRDefault="004A4913" w:rsidP="00332F59">
      <w:pPr>
        <w:spacing w:after="0" w:line="240" w:lineRule="auto"/>
      </w:pPr>
      <w:r>
        <w:separator/>
      </w:r>
    </w:p>
  </w:endnote>
  <w:endnote w:type="continuationSeparator" w:id="0">
    <w:p w:rsidR="004A4913" w:rsidRDefault="004A4913" w:rsidP="0033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375538"/>
      <w:docPartObj>
        <w:docPartGallery w:val="Page Numbers (Bottom of Page)"/>
        <w:docPartUnique/>
      </w:docPartObj>
    </w:sdtPr>
    <w:sdtEndPr/>
    <w:sdtContent>
      <w:p w:rsidR="004A4913" w:rsidRDefault="004A4913">
        <w:pPr>
          <w:pStyle w:val="Pieddepage"/>
          <w:jc w:val="right"/>
        </w:pPr>
        <w:r>
          <w:fldChar w:fldCharType="begin"/>
        </w:r>
        <w:r>
          <w:instrText>PAGE   \* MERGEFORMAT</w:instrText>
        </w:r>
        <w:r>
          <w:fldChar w:fldCharType="separate"/>
        </w:r>
        <w:r w:rsidR="00D204D9" w:rsidRPr="00D204D9">
          <w:rPr>
            <w:noProof/>
            <w:lang w:val="fr-FR"/>
          </w:rPr>
          <w:t>4</w:t>
        </w:r>
        <w:r>
          <w:fldChar w:fldCharType="end"/>
        </w:r>
      </w:p>
    </w:sdtContent>
  </w:sdt>
  <w:p w:rsidR="004A4913" w:rsidRDefault="004A49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913" w:rsidRDefault="004A4913" w:rsidP="00332F59">
      <w:pPr>
        <w:spacing w:after="0" w:line="240" w:lineRule="auto"/>
      </w:pPr>
      <w:r>
        <w:separator/>
      </w:r>
    </w:p>
  </w:footnote>
  <w:footnote w:type="continuationSeparator" w:id="0">
    <w:p w:rsidR="004A4913" w:rsidRDefault="004A4913" w:rsidP="00332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13" w:rsidRDefault="004A4913" w:rsidP="00332F59">
    <w:pPr>
      <w:pStyle w:val="En-tte"/>
      <w:tabs>
        <w:tab w:val="clear" w:pos="4536"/>
      </w:tabs>
    </w:pPr>
    <w:r>
      <w:rPr>
        <w:noProof/>
        <w:lang w:eastAsia="fr-MA"/>
      </w:rPr>
      <w:drawing>
        <wp:inline distT="0" distB="0" distL="0" distR="0" wp14:anchorId="742D7BF8" wp14:editId="0FF9E1EB">
          <wp:extent cx="1704975" cy="1674717"/>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le20202021.JPG"/>
                  <pic:cNvPicPr/>
                </pic:nvPicPr>
                <pic:blipFill>
                  <a:blip r:embed="rId1">
                    <a:extLst>
                      <a:ext uri="{28A0092B-C50C-407E-A947-70E740481C1C}">
                        <a14:useLocalDpi xmlns:a14="http://schemas.microsoft.com/office/drawing/2010/main" val="0"/>
                      </a:ext>
                    </a:extLst>
                  </a:blip>
                  <a:stretch>
                    <a:fillRect/>
                  </a:stretch>
                </pic:blipFill>
                <pic:spPr>
                  <a:xfrm>
                    <a:off x="0" y="0"/>
                    <a:ext cx="1738662" cy="1707806"/>
                  </a:xfrm>
                  <a:prstGeom prst="rect">
                    <a:avLst/>
                  </a:prstGeom>
                </pic:spPr>
              </pic:pic>
            </a:graphicData>
          </a:graphic>
        </wp:inline>
      </w:drawing>
    </w:r>
    <w:r>
      <w:tab/>
    </w:r>
    <w:r w:rsidRPr="0039192D">
      <w:rPr>
        <w:noProof/>
        <w:lang w:eastAsia="fr-MA"/>
      </w:rPr>
      <w:drawing>
        <wp:inline distT="0" distB="0" distL="0" distR="0" wp14:anchorId="2EAD1C1D" wp14:editId="421C432D">
          <wp:extent cx="2257425" cy="846534"/>
          <wp:effectExtent l="0" t="0" r="0" b="0"/>
          <wp:docPr id="2" name="Image 2" descr="LD logo_haut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 logo_haute_resolu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8678" cy="847004"/>
                  </a:xfrm>
                  <a:prstGeom prst="rect">
                    <a:avLst/>
                  </a:prstGeom>
                  <a:noFill/>
                  <a:ln>
                    <a:noFill/>
                  </a:ln>
                </pic:spPr>
              </pic:pic>
            </a:graphicData>
          </a:graphic>
        </wp:inline>
      </w:drawing>
    </w:r>
    <w:r>
      <w:tab/>
    </w:r>
  </w:p>
  <w:p w:rsidR="004A4913" w:rsidRDefault="004A49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16A4"/>
    <w:multiLevelType w:val="hybridMultilevel"/>
    <w:tmpl w:val="1A767804"/>
    <w:lvl w:ilvl="0" w:tplc="944E1586">
      <w:start w:val="1"/>
      <w:numFmt w:val="decimal"/>
      <w:lvlText w:val="%1-"/>
      <w:lvlJc w:val="left"/>
      <w:pPr>
        <w:ind w:left="720" w:hanging="360"/>
      </w:pPr>
      <w:rPr>
        <w:rFonts w:asciiTheme="minorHAnsi" w:eastAsiaTheme="minorHAnsi" w:hAnsiTheme="minorHAnsi" w:cstheme="minorBidi"/>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29AC6707"/>
    <w:multiLevelType w:val="multilevel"/>
    <w:tmpl w:val="A8764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F6CA6"/>
    <w:multiLevelType w:val="hybridMultilevel"/>
    <w:tmpl w:val="70A0160A"/>
    <w:lvl w:ilvl="0" w:tplc="2FC63728">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33807E2E"/>
    <w:multiLevelType w:val="hybridMultilevel"/>
    <w:tmpl w:val="E96C918E"/>
    <w:lvl w:ilvl="0" w:tplc="88C8C4BC">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61C33BCB"/>
    <w:multiLevelType w:val="hybridMultilevel"/>
    <w:tmpl w:val="BF546A26"/>
    <w:lvl w:ilvl="0" w:tplc="7B560366">
      <w:start w:val="1"/>
      <w:numFmt w:val="bullet"/>
      <w:lvlText w:val="-"/>
      <w:lvlJc w:val="left"/>
      <w:pPr>
        <w:ind w:left="1080" w:hanging="360"/>
      </w:pPr>
      <w:rPr>
        <w:rFonts w:ascii="Calibri" w:eastAsiaTheme="minorHAnsi" w:hAnsi="Calibri" w:cs="Calibri"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5" w15:restartNumberingAfterBreak="0">
    <w:nsid w:val="73AF5329"/>
    <w:multiLevelType w:val="hybridMultilevel"/>
    <w:tmpl w:val="03D8AF5A"/>
    <w:lvl w:ilvl="0" w:tplc="380C0001">
      <w:start w:val="1"/>
      <w:numFmt w:val="bullet"/>
      <w:lvlText w:val=""/>
      <w:lvlJc w:val="left"/>
      <w:pPr>
        <w:ind w:left="2130" w:hanging="360"/>
      </w:pPr>
      <w:rPr>
        <w:rFonts w:ascii="Symbol" w:hAnsi="Symbol" w:hint="default"/>
      </w:rPr>
    </w:lvl>
    <w:lvl w:ilvl="1" w:tplc="380C0003" w:tentative="1">
      <w:start w:val="1"/>
      <w:numFmt w:val="bullet"/>
      <w:lvlText w:val="o"/>
      <w:lvlJc w:val="left"/>
      <w:pPr>
        <w:ind w:left="2850" w:hanging="360"/>
      </w:pPr>
      <w:rPr>
        <w:rFonts w:ascii="Courier New" w:hAnsi="Courier New" w:cs="Courier New" w:hint="default"/>
      </w:rPr>
    </w:lvl>
    <w:lvl w:ilvl="2" w:tplc="380C0005" w:tentative="1">
      <w:start w:val="1"/>
      <w:numFmt w:val="bullet"/>
      <w:lvlText w:val=""/>
      <w:lvlJc w:val="left"/>
      <w:pPr>
        <w:ind w:left="3570" w:hanging="360"/>
      </w:pPr>
      <w:rPr>
        <w:rFonts w:ascii="Wingdings" w:hAnsi="Wingdings" w:hint="default"/>
      </w:rPr>
    </w:lvl>
    <w:lvl w:ilvl="3" w:tplc="380C0001" w:tentative="1">
      <w:start w:val="1"/>
      <w:numFmt w:val="bullet"/>
      <w:lvlText w:val=""/>
      <w:lvlJc w:val="left"/>
      <w:pPr>
        <w:ind w:left="4290" w:hanging="360"/>
      </w:pPr>
      <w:rPr>
        <w:rFonts w:ascii="Symbol" w:hAnsi="Symbol" w:hint="default"/>
      </w:rPr>
    </w:lvl>
    <w:lvl w:ilvl="4" w:tplc="380C0003" w:tentative="1">
      <w:start w:val="1"/>
      <w:numFmt w:val="bullet"/>
      <w:lvlText w:val="o"/>
      <w:lvlJc w:val="left"/>
      <w:pPr>
        <w:ind w:left="5010" w:hanging="360"/>
      </w:pPr>
      <w:rPr>
        <w:rFonts w:ascii="Courier New" w:hAnsi="Courier New" w:cs="Courier New" w:hint="default"/>
      </w:rPr>
    </w:lvl>
    <w:lvl w:ilvl="5" w:tplc="380C0005" w:tentative="1">
      <w:start w:val="1"/>
      <w:numFmt w:val="bullet"/>
      <w:lvlText w:val=""/>
      <w:lvlJc w:val="left"/>
      <w:pPr>
        <w:ind w:left="5730" w:hanging="360"/>
      </w:pPr>
      <w:rPr>
        <w:rFonts w:ascii="Wingdings" w:hAnsi="Wingdings" w:hint="default"/>
      </w:rPr>
    </w:lvl>
    <w:lvl w:ilvl="6" w:tplc="380C0001" w:tentative="1">
      <w:start w:val="1"/>
      <w:numFmt w:val="bullet"/>
      <w:lvlText w:val=""/>
      <w:lvlJc w:val="left"/>
      <w:pPr>
        <w:ind w:left="6450" w:hanging="360"/>
      </w:pPr>
      <w:rPr>
        <w:rFonts w:ascii="Symbol" w:hAnsi="Symbol" w:hint="default"/>
      </w:rPr>
    </w:lvl>
    <w:lvl w:ilvl="7" w:tplc="380C0003" w:tentative="1">
      <w:start w:val="1"/>
      <w:numFmt w:val="bullet"/>
      <w:lvlText w:val="o"/>
      <w:lvlJc w:val="left"/>
      <w:pPr>
        <w:ind w:left="7170" w:hanging="360"/>
      </w:pPr>
      <w:rPr>
        <w:rFonts w:ascii="Courier New" w:hAnsi="Courier New" w:cs="Courier New" w:hint="default"/>
      </w:rPr>
    </w:lvl>
    <w:lvl w:ilvl="8" w:tplc="380C0005" w:tentative="1">
      <w:start w:val="1"/>
      <w:numFmt w:val="bullet"/>
      <w:lvlText w:val=""/>
      <w:lvlJc w:val="left"/>
      <w:pPr>
        <w:ind w:left="789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03"/>
    <w:rsid w:val="00087884"/>
    <w:rsid w:val="000E7913"/>
    <w:rsid w:val="00135D08"/>
    <w:rsid w:val="0017221E"/>
    <w:rsid w:val="002B3310"/>
    <w:rsid w:val="00332F59"/>
    <w:rsid w:val="00344E90"/>
    <w:rsid w:val="00351411"/>
    <w:rsid w:val="00360C3A"/>
    <w:rsid w:val="003A4C78"/>
    <w:rsid w:val="003D2193"/>
    <w:rsid w:val="0048322E"/>
    <w:rsid w:val="004A4913"/>
    <w:rsid w:val="004D0A7D"/>
    <w:rsid w:val="005A19A8"/>
    <w:rsid w:val="005A5594"/>
    <w:rsid w:val="005D46A0"/>
    <w:rsid w:val="00695C1F"/>
    <w:rsid w:val="006C4EAE"/>
    <w:rsid w:val="0077621B"/>
    <w:rsid w:val="007F2D03"/>
    <w:rsid w:val="00817F5D"/>
    <w:rsid w:val="00885C92"/>
    <w:rsid w:val="008960E5"/>
    <w:rsid w:val="008D6CC2"/>
    <w:rsid w:val="00900336"/>
    <w:rsid w:val="009D0A7B"/>
    <w:rsid w:val="00A027EA"/>
    <w:rsid w:val="00A73941"/>
    <w:rsid w:val="00A97578"/>
    <w:rsid w:val="00C67FDD"/>
    <w:rsid w:val="00D204D9"/>
    <w:rsid w:val="00D67521"/>
    <w:rsid w:val="00DA4B65"/>
    <w:rsid w:val="00EA2E22"/>
    <w:rsid w:val="00F84B56"/>
    <w:rsid w:val="00FE0CA9"/>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946A829-4B2E-4A3B-96B2-681EE643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2D03"/>
    <w:pPr>
      <w:spacing w:before="100" w:beforeAutospacing="1" w:after="100" w:afterAutospacing="1" w:line="240" w:lineRule="auto"/>
    </w:pPr>
    <w:rPr>
      <w:rFonts w:ascii="Times New Roman" w:eastAsia="Times New Roman" w:hAnsi="Times New Roman" w:cs="Times New Roman"/>
      <w:sz w:val="24"/>
      <w:szCs w:val="24"/>
      <w:lang w:eastAsia="fr-MA"/>
    </w:rPr>
  </w:style>
  <w:style w:type="paragraph" w:styleId="Textedebulles">
    <w:name w:val="Balloon Text"/>
    <w:basedOn w:val="Normal"/>
    <w:link w:val="TextedebullesCar"/>
    <w:uiPriority w:val="99"/>
    <w:semiHidden/>
    <w:unhideWhenUsed/>
    <w:rsid w:val="007F2D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2D03"/>
    <w:rPr>
      <w:rFonts w:ascii="Segoe UI" w:hAnsi="Segoe UI" w:cs="Segoe UI"/>
      <w:sz w:val="18"/>
      <w:szCs w:val="18"/>
    </w:rPr>
  </w:style>
  <w:style w:type="paragraph" w:styleId="En-tte">
    <w:name w:val="header"/>
    <w:basedOn w:val="Normal"/>
    <w:link w:val="En-tteCar"/>
    <w:uiPriority w:val="99"/>
    <w:unhideWhenUsed/>
    <w:rsid w:val="00332F59"/>
    <w:pPr>
      <w:tabs>
        <w:tab w:val="center" w:pos="4536"/>
        <w:tab w:val="right" w:pos="9072"/>
      </w:tabs>
      <w:spacing w:after="0" w:line="240" w:lineRule="auto"/>
    </w:pPr>
  </w:style>
  <w:style w:type="character" w:customStyle="1" w:styleId="En-tteCar">
    <w:name w:val="En-tête Car"/>
    <w:basedOn w:val="Policepardfaut"/>
    <w:link w:val="En-tte"/>
    <w:uiPriority w:val="99"/>
    <w:rsid w:val="00332F59"/>
  </w:style>
  <w:style w:type="paragraph" w:styleId="Pieddepage">
    <w:name w:val="footer"/>
    <w:basedOn w:val="Normal"/>
    <w:link w:val="PieddepageCar"/>
    <w:uiPriority w:val="99"/>
    <w:unhideWhenUsed/>
    <w:rsid w:val="00332F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2F59"/>
  </w:style>
  <w:style w:type="paragraph" w:styleId="Paragraphedeliste">
    <w:name w:val="List Paragraph"/>
    <w:basedOn w:val="Normal"/>
    <w:uiPriority w:val="34"/>
    <w:qFormat/>
    <w:rsid w:val="006C4EAE"/>
    <w:pPr>
      <w:ind w:left="720"/>
      <w:contextualSpacing/>
    </w:pPr>
  </w:style>
  <w:style w:type="table" w:styleId="Grilledutableau">
    <w:name w:val="Table Grid"/>
    <w:basedOn w:val="TableauNormal"/>
    <w:uiPriority w:val="39"/>
    <w:rsid w:val="0036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11685">
      <w:bodyDiv w:val="1"/>
      <w:marLeft w:val="0"/>
      <w:marRight w:val="0"/>
      <w:marTop w:val="0"/>
      <w:marBottom w:val="0"/>
      <w:divBdr>
        <w:top w:val="none" w:sz="0" w:space="0" w:color="auto"/>
        <w:left w:val="none" w:sz="0" w:space="0" w:color="auto"/>
        <w:bottom w:val="none" w:sz="0" w:space="0" w:color="auto"/>
        <w:right w:val="none" w:sz="0" w:space="0" w:color="auto"/>
      </w:divBdr>
    </w:div>
    <w:div w:id="20776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1087</Words>
  <Characters>5982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LD</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GIOAN Laetitia</dc:creator>
  <cp:keywords/>
  <dc:description/>
  <cp:lastModifiedBy>GIOAN Laetitia</cp:lastModifiedBy>
  <cp:revision>14</cp:revision>
  <cp:lastPrinted>2021-11-09T09:26:00Z</cp:lastPrinted>
  <dcterms:created xsi:type="dcterms:W3CDTF">2021-11-08T09:03:00Z</dcterms:created>
  <dcterms:modified xsi:type="dcterms:W3CDTF">2021-11-09T09:33:00Z</dcterms:modified>
</cp:coreProperties>
</file>